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山西职业技术学院</w:t>
      </w:r>
    </w:p>
    <w:p>
      <w:pPr>
        <w:jc w:val="center"/>
        <w:rPr>
          <w:rFonts w:hint="eastAsia"/>
          <w:b/>
          <w:bCs/>
          <w:sz w:val="32"/>
          <w:szCs w:val="32"/>
          <w:lang w:val="en-US" w:eastAsia="zh-CN"/>
        </w:rPr>
      </w:pPr>
      <w:r>
        <w:rPr>
          <w:rFonts w:hint="eastAsia"/>
          <w:b/>
          <w:bCs/>
          <w:sz w:val="32"/>
          <w:szCs w:val="32"/>
          <w:lang w:val="en-US" w:eastAsia="zh-CN"/>
        </w:rPr>
        <w:t xml:space="preserve">  </w:t>
      </w:r>
      <w:bookmarkStart w:id="0" w:name="_GoBack"/>
      <w:bookmarkEnd w:id="0"/>
      <w:r>
        <w:rPr>
          <w:rFonts w:hint="eastAsia"/>
          <w:b/>
          <w:bCs/>
          <w:sz w:val="32"/>
          <w:szCs w:val="32"/>
          <w:lang w:val="en-US" w:eastAsia="zh-CN"/>
        </w:rPr>
        <w:t>社会治安综合治理实施细则2017年后半年工作计划</w:t>
      </w:r>
      <w:r>
        <w:rPr>
          <w:rFonts w:hint="eastAsia"/>
          <w:b/>
          <w:bCs/>
          <w:sz w:val="24"/>
          <w:szCs w:val="24"/>
          <w:lang w:val="en-US" w:eastAsia="zh-CN"/>
        </w:rPr>
        <w:t>（16项内容）</w:t>
      </w:r>
    </w:p>
    <w:tbl>
      <w:tblPr>
        <w:tblStyle w:val="8"/>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15"/>
        <w:gridCol w:w="15"/>
        <w:gridCol w:w="1785"/>
        <w:gridCol w:w="5520"/>
        <w:gridCol w:w="2355"/>
        <w:gridCol w:w="270"/>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7" w:type="dxa"/>
            <w:vAlign w:val="center"/>
          </w:tcPr>
          <w:p>
            <w:pPr>
              <w:jc w:val="center"/>
              <w:rPr>
                <w:rFonts w:hint="eastAsia"/>
                <w:b/>
                <w:bCs/>
                <w:color w:val="000000" w:themeColor="text1"/>
                <w:sz w:val="32"/>
                <w:szCs w:val="32"/>
                <w:vertAlign w:val="baseline"/>
                <w:lang w:val="en-US" w:eastAsia="zh-CN"/>
                <w14:textFill>
                  <w14:solidFill>
                    <w14:schemeClr w14:val="tx1"/>
                  </w14:solidFill>
                </w14:textFill>
              </w:rPr>
            </w:pPr>
            <w:r>
              <w:rPr>
                <w:rFonts w:hint="eastAsia"/>
                <w:b/>
                <w:bCs/>
                <w:color w:val="000000" w:themeColor="text1"/>
                <w:sz w:val="32"/>
                <w:szCs w:val="32"/>
                <w:vertAlign w:val="baseline"/>
                <w:lang w:val="en-US" w:eastAsia="zh-CN"/>
                <w14:textFill>
                  <w14:solidFill>
                    <w14:schemeClr w14:val="tx1"/>
                  </w14:solidFill>
                </w14:textFill>
              </w:rPr>
              <w:t>序号</w:t>
            </w:r>
          </w:p>
        </w:tc>
        <w:tc>
          <w:tcPr>
            <w:tcW w:w="3015" w:type="dxa"/>
            <w:gridSpan w:val="3"/>
            <w:vAlign w:val="center"/>
          </w:tcPr>
          <w:p>
            <w:pPr>
              <w:jc w:val="center"/>
              <w:rPr>
                <w:rFonts w:hint="eastAsia"/>
                <w:b/>
                <w:bCs/>
                <w:color w:val="000000" w:themeColor="text1"/>
                <w:sz w:val="32"/>
                <w:szCs w:val="32"/>
                <w:vertAlign w:val="baseline"/>
                <w:lang w:val="en-US" w:eastAsia="zh-CN"/>
                <w14:textFill>
                  <w14:solidFill>
                    <w14:schemeClr w14:val="tx1"/>
                  </w14:solidFill>
                </w14:textFill>
              </w:rPr>
            </w:pPr>
            <w:r>
              <w:rPr>
                <w:rFonts w:hint="eastAsia"/>
                <w:b/>
                <w:bCs/>
                <w:color w:val="000000" w:themeColor="text1"/>
                <w:sz w:val="32"/>
                <w:szCs w:val="32"/>
                <w:vertAlign w:val="baseline"/>
                <w:lang w:val="en-US" w:eastAsia="zh-CN"/>
                <w14:textFill>
                  <w14:solidFill>
                    <w14:schemeClr w14:val="tx1"/>
                  </w14:solidFill>
                </w14:textFill>
              </w:rPr>
              <w:t>工作内容</w:t>
            </w:r>
          </w:p>
        </w:tc>
        <w:tc>
          <w:tcPr>
            <w:tcW w:w="5520" w:type="dxa"/>
            <w:vAlign w:val="center"/>
          </w:tcPr>
          <w:p>
            <w:pPr>
              <w:jc w:val="center"/>
              <w:rPr>
                <w:rFonts w:hint="eastAsia"/>
                <w:b/>
                <w:bCs/>
                <w:color w:val="000000" w:themeColor="text1"/>
                <w:sz w:val="32"/>
                <w:szCs w:val="32"/>
                <w:vertAlign w:val="baseline"/>
                <w:lang w:val="en-US" w:eastAsia="zh-CN"/>
                <w14:textFill>
                  <w14:solidFill>
                    <w14:schemeClr w14:val="tx1"/>
                  </w14:solidFill>
                </w14:textFill>
              </w:rPr>
            </w:pPr>
            <w:r>
              <w:rPr>
                <w:rFonts w:hint="eastAsia"/>
                <w:b/>
                <w:bCs/>
                <w:color w:val="000000" w:themeColor="text1"/>
                <w:sz w:val="32"/>
                <w:szCs w:val="32"/>
                <w:vertAlign w:val="baseline"/>
                <w:lang w:val="en-US" w:eastAsia="zh-CN"/>
                <w14:textFill>
                  <w14:solidFill>
                    <w14:schemeClr w14:val="tx1"/>
                  </w14:solidFill>
                </w14:textFill>
              </w:rPr>
              <w:t>工作要求</w:t>
            </w:r>
          </w:p>
        </w:tc>
        <w:tc>
          <w:tcPr>
            <w:tcW w:w="2355" w:type="dxa"/>
            <w:vAlign w:val="center"/>
          </w:tcPr>
          <w:p>
            <w:pPr>
              <w:jc w:val="center"/>
              <w:rPr>
                <w:rFonts w:hint="eastAsia"/>
                <w:b/>
                <w:bCs/>
                <w:color w:val="000000" w:themeColor="text1"/>
                <w:sz w:val="32"/>
                <w:szCs w:val="32"/>
                <w:vertAlign w:val="baseline"/>
                <w:lang w:val="en-US" w:eastAsia="zh-CN"/>
                <w14:textFill>
                  <w14:solidFill>
                    <w14:schemeClr w14:val="tx1"/>
                  </w14:solidFill>
                </w14:textFill>
              </w:rPr>
            </w:pPr>
            <w:r>
              <w:rPr>
                <w:rFonts w:hint="eastAsia"/>
                <w:b/>
                <w:bCs/>
                <w:color w:val="000000" w:themeColor="text1"/>
                <w:sz w:val="32"/>
                <w:szCs w:val="32"/>
                <w:vertAlign w:val="baseline"/>
                <w:lang w:val="en-US" w:eastAsia="zh-CN"/>
                <w14:textFill>
                  <w14:solidFill>
                    <w14:schemeClr w14:val="tx1"/>
                  </w14:solidFill>
                </w14:textFill>
              </w:rPr>
              <w:t>完成时间</w:t>
            </w:r>
          </w:p>
        </w:tc>
        <w:tc>
          <w:tcPr>
            <w:tcW w:w="2407" w:type="dxa"/>
            <w:gridSpan w:val="2"/>
            <w:vAlign w:val="center"/>
          </w:tcPr>
          <w:p>
            <w:pPr>
              <w:jc w:val="center"/>
              <w:rPr>
                <w:rFonts w:hint="eastAsia"/>
                <w:b/>
                <w:bCs/>
                <w:color w:val="000000" w:themeColor="text1"/>
                <w:sz w:val="32"/>
                <w:szCs w:val="32"/>
                <w:vertAlign w:val="baseline"/>
                <w:lang w:val="en-US" w:eastAsia="zh-CN"/>
                <w14:textFill>
                  <w14:solidFill>
                    <w14:schemeClr w14:val="tx1"/>
                  </w14:solidFill>
                </w14:textFill>
              </w:rPr>
            </w:pPr>
            <w:r>
              <w:rPr>
                <w:rFonts w:hint="eastAsia"/>
                <w:b/>
                <w:bCs/>
                <w:color w:val="000000" w:themeColor="text1"/>
                <w:sz w:val="32"/>
                <w:szCs w:val="32"/>
                <w:vertAlign w:val="baseline"/>
                <w:lang w:val="en-US" w:eastAsia="zh-CN"/>
                <w14:textFill>
                  <w14:solidFill>
                    <w14:schemeClr w14:val="tx1"/>
                  </w14:solidFill>
                </w14:textFill>
              </w:rPr>
              <w:t>责任部门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w:t>
            </w:r>
          </w:p>
        </w:tc>
        <w:tc>
          <w:tcPr>
            <w:tcW w:w="3015"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进一步细化明确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各岗位职责</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院长第五次办公会安全文化建设主线已明确提出综合治理部门负责人是第一责任人、负全责。各部门要结合社会治安综合治理实施细则，按照本部门工作实际进一步细化本部门及各岗位的安全职责，做到责任到岗、责任到人，形成本部门安全岗位职责汇编。</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10月底前电子文稿报送综治办</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2</w:t>
            </w:r>
          </w:p>
        </w:tc>
        <w:tc>
          <w:tcPr>
            <w:tcW w:w="3015"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安全例会</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各部门要继续按照学院下发的安全例会制度要求，继续落实好安全工作例会，并形成会议纪要。</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3</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继续加强队伍建设</w:t>
            </w: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 xml:space="preserve">  保卫队伍</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加强保卫队伍业务能力培训，坚决维护学院正常的教学、科研和生活秩序，有效预防和处置各类治安案件或突发事件。</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0"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综治应急队伍</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上学期综治工作安排要求3月底前组建完成本部门综治工作应急队伍，并按要求运行。本学期各部门要报送综治队伍名单，除学院综治办组织的业务培训外，各部门要结合工作实际还要组织开展不少于一次的相关综治业务培训。</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队伍名单报送时间9月20日前。9月30日前综治办组织全院综治应急队伍业务培训。</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学生安全信息报送队伍</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上学期综治工作安排要求3月底前要求各级学生管理部门，要在班级、宿舍、学生组织、社团等组建一支学生信息报送队伍，学生安全信息报送队伍报送的信息做到处理及时，有记录。本学期要求各级学生管理部门开展一次学生安全信息员的业务培训，要明确学生安全信息员报送流程、报送时间要求以及报送回来的安全隐患能否及时落实、解决。</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9月30日前各级学生管理部门对学生安全信息员开展一次培训。</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二级学院、各校区管委会、学工部、团委、各系部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9月20日前学工部牵头组织全院负责管理学生安全信息员队伍的负责人进行一次业务培训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4</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制度建设</w:t>
            </w: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安全稳定工作管理制度</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全面梳理各类安全稳定工作管理制度，形成完善的安全稳定工作管理制度体系。</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11月底前</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党办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行政安全管理制度</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全面梳理各类行政安全管理制度，形成完善的行政安全管理制度体系。</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11月底前</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学生安全管理制度</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全面梳理各类学生安全管理制度，形成完善的学生安全管理制度体系。</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11月底前</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学生安全管理制度</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全面梳理各类教学安全管理制度，形成完善的教学安全管理制度体系。</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11月底前</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后勤安全管理制度</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全面梳理各类后勤安全管理制度，形成完善的后勤安全管理制度体系。</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11月底前</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后勤处、后勤服务中心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消防安全管理制度</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全面梳理各类消防安全管理制度，形成完善的消防安全管理制度体系。</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11月底前</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值班制度</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制定完善学院值班制度和应急值班制度</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10月底前</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5</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应急预案编制、演练</w:t>
            </w: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学院公共突发事件应急预案</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begin"/>
            </w:r>
            <w:r>
              <w:rPr>
                <w:rFonts w:hint="eastAsia" w:ascii="楷体" w:hAnsi="楷体" w:eastAsia="楷体" w:cs="楷体"/>
                <w:b w:val="0"/>
                <w:bCs w:val="0"/>
                <w:color w:val="000000" w:themeColor="text1"/>
                <w:sz w:val="24"/>
                <w:szCs w:val="24"/>
                <w:lang w:val="en-US" w:eastAsia="zh-CN"/>
                <w14:textFill>
                  <w14:solidFill>
                    <w14:schemeClr w14:val="tx1"/>
                  </w14:solidFill>
                </w14:textFill>
              </w:rPr>
              <w:instrText xml:space="preserve"> HYPERLINK "山西职业技术学院突发公共事件应急预案.doc" </w:instrText>
            </w: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separate"/>
            </w:r>
            <w:r>
              <w:rPr>
                <w:rStyle w:val="5"/>
                <w:rFonts w:hint="eastAsia" w:ascii="楷体" w:hAnsi="楷体" w:eastAsia="楷体" w:cs="楷体"/>
                <w:b w:val="0"/>
                <w:bCs w:val="0"/>
                <w:color w:val="000000" w:themeColor="text1"/>
                <w:sz w:val="24"/>
                <w:szCs w:val="24"/>
                <w:lang w:val="en-US" w:eastAsia="zh-CN"/>
                <w14:textFill>
                  <w14:solidFill>
                    <w14:schemeClr w14:val="tx1"/>
                  </w14:solidFill>
                </w14:textFill>
              </w:rPr>
              <w:t>编制完善学院公共突发事件应急预案</w:t>
            </w: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end"/>
            </w:r>
            <w:r>
              <w:rPr>
                <w:rFonts w:hint="eastAsia" w:ascii="楷体" w:hAnsi="楷体" w:eastAsia="楷体" w:cs="楷体"/>
                <w:b w:val="0"/>
                <w:bCs w:val="0"/>
                <w:color w:val="000000" w:themeColor="text1"/>
                <w:sz w:val="24"/>
                <w:szCs w:val="24"/>
                <w:lang w:val="en-US" w:eastAsia="zh-CN"/>
                <w14:textFill>
                  <w14:solidFill>
                    <w14:schemeClr w14:val="tx1"/>
                  </w14:solidFill>
                </w14:textFill>
              </w:rPr>
              <w:t>各部门要按照学院制定的应急工作预案结合本部门工作实际制定相应的应急工作预案，提高本部门综合治理工作组快速反应能力和处置能力。（预案要简单可操作性强。）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10月底前</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119消防演练</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演练牵头部门要认真进行实地查看，合理制定演练方案，并报综治办审核，审核通过后按照演练方案组织人员演练，演练结束后牵头部门要认真分析总结演练情况，并将演练总结归档保存。</w:t>
            </w:r>
          </w:p>
        </w:tc>
        <w:tc>
          <w:tcPr>
            <w:tcW w:w="235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11月1日报送预案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11月9日前后演练</w:t>
            </w:r>
          </w:p>
        </w:tc>
        <w:tc>
          <w:tcPr>
            <w:tcW w:w="2407"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二级学院、各校区管委会牵头组织，坞城校区由学工部牵头组织，各系部配合。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保卫处负责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各重点场所管理部门自行牵头组织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四校区在校师生消防疏散灭火演练</w:t>
            </w:r>
          </w:p>
        </w:tc>
        <w:tc>
          <w:tcPr>
            <w:tcW w:w="235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2407"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坞城校区机关人员消防疏散灭火演练</w:t>
            </w:r>
          </w:p>
        </w:tc>
        <w:tc>
          <w:tcPr>
            <w:tcW w:w="235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2407"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重点场所灭火疏散演练（图书馆、后勤服务中心、后勤处等部门管理的重点场所）</w:t>
            </w:r>
          </w:p>
        </w:tc>
        <w:tc>
          <w:tcPr>
            <w:tcW w:w="235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2407"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1" w:hRule="atLeast"/>
        </w:trPr>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6</w:t>
            </w: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安全责任清单</w:t>
            </w: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部门要再次全面细致地梳理安全责任清单，按照安全稳定、治安保卫、消防安全三方面内容，有风险预见性的制定安全防控措施，理清责任范围、落实安全责任人、责任领导；要做到不留安全死角，不留管理盲区。</w:t>
            </w:r>
          </w:p>
        </w:tc>
        <w:tc>
          <w:tcPr>
            <w:tcW w:w="23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上学期各部门6月底前再次做了全面梳理。10月底前报送综治办</w:t>
            </w:r>
          </w:p>
        </w:tc>
        <w:tc>
          <w:tcPr>
            <w:tcW w:w="240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7</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继续做好安全档案管理</w:t>
            </w: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各部门结合实施细则的档案管理要求，做好安全档案管理工作。</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1"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综治安全自查自评表</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继续深入开展综治工作自评自查，并按要求报送“综治安全自查自评表”电子政务报送，</w:t>
            </w:r>
            <w:r>
              <w:rPr>
                <w:rFonts w:hint="eastAsia" w:ascii="楷体" w:hAnsi="楷体" w:eastAsia="楷体" w:cs="楷体"/>
                <w:b w:val="0"/>
                <w:bCs w:val="0"/>
                <w:color w:val="000000" w:themeColor="text1"/>
                <w:sz w:val="24"/>
                <w:szCs w:val="24"/>
                <w:lang w:val="en-US" w:eastAsia="zh-CN"/>
                <w14:textFill>
                  <w14:solidFill>
                    <w14:schemeClr w14:val="tx1"/>
                  </w14:solidFill>
                </w14:textFill>
              </w:rPr>
              <w:t>无隐患可不用报送。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1、综治情况要概括描述存在的安全隐患，具体位置，发现时间；2、报送相关部门进行处理，什么时间报送的要做好详细记录；3、发现后，本部门采取的防控措施是什么；4、建议怎样整改，部门负责人签署意见； 5、相关部门接到“综治安全工作自查自评表”是怎样落实的。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fldChar w:fldCharType="begin"/>
            </w: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instrText xml:space="preserve"> HYPERLINK "附件1综治安全工作自查自评表.docx" </w:instrText>
            </w: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fldChar w:fldCharType="separate"/>
            </w:r>
            <w:r>
              <w:rPr>
                <w:rStyle w:val="5"/>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附件1：综治安全自查自评表</w:t>
            </w: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fldChar w:fldCharType="end"/>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每月25日前报送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8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安全台账</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安全台账记录统一按照要求做好详细记录，全学期记录，年终综治考核结束后报学院综治办。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begin"/>
            </w:r>
            <w:r>
              <w:rPr>
                <w:rFonts w:hint="eastAsia" w:ascii="楷体" w:hAnsi="楷体" w:eastAsia="楷体" w:cs="楷体"/>
                <w:b w:val="0"/>
                <w:bCs w:val="0"/>
                <w:color w:val="000000" w:themeColor="text1"/>
                <w:sz w:val="24"/>
                <w:szCs w:val="24"/>
                <w:lang w:val="en-US" w:eastAsia="zh-CN"/>
                <w14:textFill>
                  <w14:solidFill>
                    <w14:schemeClr w14:val="tx1"/>
                  </w14:solidFill>
                </w14:textFill>
              </w:rPr>
              <w:instrText xml:space="preserve"> HYPERLINK "附件2安全隐患排查整改台账登记表.docx" </w:instrText>
            </w: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separate"/>
            </w:r>
            <w:r>
              <w:rPr>
                <w:rStyle w:val="5"/>
                <w:rFonts w:hint="eastAsia" w:ascii="楷体" w:hAnsi="楷体" w:eastAsia="楷体" w:cs="楷体"/>
                <w:b w:val="0"/>
                <w:bCs w:val="0"/>
                <w:color w:val="000000" w:themeColor="text1"/>
                <w:sz w:val="24"/>
                <w:szCs w:val="24"/>
                <w:lang w:val="en-US" w:eastAsia="zh-CN"/>
                <w14:textFill>
                  <w14:solidFill>
                    <w14:schemeClr w14:val="tx1"/>
                  </w14:solidFill>
                </w14:textFill>
              </w:rPr>
              <w:t>附件2：安全隐患排查整改台账登记表</w:t>
            </w: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end"/>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8</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校园秩序</w:t>
            </w: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严禁校园内乱贴广告、私拉条幅（除各部门工作条幅和海报在指定处悬挂外,其他类商业宣传性条幅、广告内容需经二级学院、各校区管委会审核后，在指定的位置悬挂）。</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坞城校区保卫处负责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加强对私搭乱建、乱堆乱放的清理。特别是加强家属区装修垃圾、生活垃圾的管理力度。</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二级学院、各校区管委会、后勤处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规范机动车辆、自行车的停放秩序，做好车辆路线标识、限速标识、禁鸣标识、校园停车位规划，警务室标识、标志等各类标识的维护工作，做到标识明显规范合理。特别提示：坞城、南中环校区涉及门禁收费的管理问题。</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各校区保卫负责人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学生上下课高峰时段对进入校园的车辆及各主要路段进行严管，确保校园交通安全。</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各校区保卫负责人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24"/>
                <w:szCs w:val="24"/>
                <w:vertAlign w:val="baseline"/>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建立校内超市摊点管理档案，每月要对校内各超市进行安全检查，严禁出售烟酒及三无食品。</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校产处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本学期有新雇佣的临时工、外来务工人员以及在校内经营人员，各部门要做好登记造册并报保卫处备案，保卫处将通过公安机关进一步核实人员有无犯罪记录。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begin"/>
            </w:r>
            <w:r>
              <w:rPr>
                <w:rFonts w:hint="eastAsia" w:ascii="楷体" w:hAnsi="楷体" w:eastAsia="楷体" w:cs="楷体"/>
                <w:b w:val="0"/>
                <w:bCs w:val="0"/>
                <w:color w:val="000000" w:themeColor="text1"/>
                <w:sz w:val="24"/>
                <w:szCs w:val="24"/>
                <w:lang w:val="en-US" w:eastAsia="zh-CN"/>
                <w14:textFill>
                  <w14:solidFill>
                    <w14:schemeClr w14:val="tx1"/>
                  </w14:solidFill>
                </w14:textFill>
              </w:rPr>
              <w:instrText xml:space="preserve"> HYPERLINK "附件3外来从业人员登记表.doc" </w:instrText>
            </w: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separate"/>
            </w:r>
            <w:r>
              <w:rPr>
                <w:rStyle w:val="5"/>
                <w:rFonts w:hint="eastAsia" w:ascii="楷体" w:hAnsi="楷体" w:eastAsia="楷体" w:cs="楷体"/>
                <w:b w:val="0"/>
                <w:bCs w:val="0"/>
                <w:color w:val="000000" w:themeColor="text1"/>
                <w:sz w:val="24"/>
                <w:szCs w:val="24"/>
                <w:lang w:val="en-US" w:eastAsia="zh-CN"/>
                <w14:textFill>
                  <w14:solidFill>
                    <w14:schemeClr w14:val="tx1"/>
                  </w14:solidFill>
                </w14:textFill>
              </w:rPr>
              <w:t>附件3：外来从业人员登记表</w:t>
            </w: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end"/>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9月底前</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各相关部门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安全教育</w:t>
            </w: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利用班会等形式组织对全体学生开展安全教育工作。（内容主要以防盗、防骗、消防、校园贷为主。）</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9月4日至8日（开学第一周）</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对全院一年级新生开展安全教育课，严格落实安全教育进课堂。</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安全教育教研室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各项重大活动、顶岗实习、实习实训前，组织部门要对参加的学生开展相应的安全教育。</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各相关部门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组织对全院任课教师开展一次教学期间的安全培训和思想政治稳定教育。</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10月中旬前结束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教务处牵头组织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组织全院师生员工开展一次师生员工的普法教育工作。</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在各系部至少开展一次覆盖一、二年级学生的心理健康教育活动，开展个体心理咨询以及德育教育。</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心理健康中心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思政部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在本部门至少开展一次全员覆盖的消防安全教育工作。</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继续加强帮扶教育，加强对网络痴迷、学习生活困难、心理障碍者和经常违纪的学生进行帮扶教育，通过帮扶教育帮助他们健康成长。</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学工部牵头，各系部负责落实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及时利用微信公众平台发布安全相关信息，提高学生安全防范意识。</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开学第一周在全院师生中开展“开学第一天、安全第一课”系列活动。</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9月4日至8日（第一周）</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每月第一周结合时间节点和社会热点案例开展“安全主题班会教育”活动。</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10</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消防工作</w:t>
            </w: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学院综治办每季度至少进行一次消防安全检查。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消防安全检查应当填写检查记录，检查人员、被检查单位负责人或者相关人员应当在检查记录上签名，发现火灾隐患应当及时下发检查记录表，督促相关部门进行整改。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begin"/>
            </w:r>
            <w:r>
              <w:rPr>
                <w:rFonts w:hint="eastAsia" w:ascii="楷体" w:hAnsi="楷体" w:eastAsia="楷体" w:cs="楷体"/>
                <w:b w:val="0"/>
                <w:bCs w:val="0"/>
                <w:color w:val="000000" w:themeColor="text1"/>
                <w:sz w:val="24"/>
                <w:szCs w:val="24"/>
                <w:lang w:val="en-US" w:eastAsia="zh-CN"/>
                <w14:textFill>
                  <w14:solidFill>
                    <w14:schemeClr w14:val="tx1"/>
                  </w14:solidFill>
                </w14:textFill>
              </w:rPr>
              <w:instrText xml:space="preserve"> HYPERLINK "附件4安全监督检查记录表模板.doc" </w:instrText>
            </w: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separate"/>
            </w:r>
            <w:r>
              <w:rPr>
                <w:rStyle w:val="5"/>
                <w:rFonts w:hint="eastAsia" w:ascii="楷体" w:hAnsi="楷体" w:eastAsia="楷体" w:cs="楷体"/>
                <w:b w:val="0"/>
                <w:bCs w:val="0"/>
                <w:color w:val="000000" w:themeColor="text1"/>
                <w:sz w:val="24"/>
                <w:szCs w:val="24"/>
                <w:lang w:val="en-US" w:eastAsia="zh-CN"/>
                <w14:textFill>
                  <w14:solidFill>
                    <w14:schemeClr w14:val="tx1"/>
                  </w14:solidFill>
                </w14:textFill>
              </w:rPr>
              <w:t>附件4：安全检查记录表</w:t>
            </w: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end"/>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综治办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各部门每月至少进行一次防火检查。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防火检查应当填写检查记录，并建立台账。</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消防安全重点部门应当进行每日防火巡查，并确定巡查的人员、内容、部位和频次。</w:t>
            </w:r>
          </w:p>
        </w:tc>
        <w:tc>
          <w:tcPr>
            <w:tcW w:w="2625"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各相关部门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1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防火巡查人员应当及时纠正消防违章行为，妥善处置火灾隐患，无法当场处置的，应当立即报告；发现初起火灾应当立即报警、通知人员疏散、及时扑救。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防火巡查应当填写巡查记录，巡查人员及其主管人员应当在巡查记录上签名。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begin"/>
            </w:r>
            <w:r>
              <w:rPr>
                <w:rFonts w:hint="eastAsia" w:ascii="楷体" w:hAnsi="楷体" w:eastAsia="楷体" w:cs="楷体"/>
                <w:b w:val="0"/>
                <w:bCs w:val="0"/>
                <w:color w:val="000000" w:themeColor="text1"/>
                <w:sz w:val="24"/>
                <w:szCs w:val="24"/>
                <w:lang w:val="en-US" w:eastAsia="zh-CN"/>
                <w14:textFill>
                  <w14:solidFill>
                    <w14:schemeClr w14:val="tx1"/>
                  </w14:solidFill>
                </w14:textFill>
              </w:rPr>
              <w:instrText xml:space="preserve"> HYPERLINK "附件5防火巡查记录表.xls" </w:instrText>
            </w: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separate"/>
            </w:r>
            <w:r>
              <w:rPr>
                <w:rStyle w:val="5"/>
                <w:rFonts w:hint="eastAsia" w:ascii="楷体" w:hAnsi="楷体" w:eastAsia="楷体" w:cs="楷体"/>
                <w:b w:val="0"/>
                <w:bCs w:val="0"/>
                <w:color w:val="000000" w:themeColor="text1"/>
                <w:sz w:val="24"/>
                <w:szCs w:val="24"/>
                <w:lang w:val="en-US" w:eastAsia="zh-CN"/>
                <w14:textFill>
                  <w14:solidFill>
                    <w14:schemeClr w14:val="tx1"/>
                  </w14:solidFill>
                </w14:textFill>
              </w:rPr>
              <w:t>附件5：防火巡查记录表</w:t>
            </w:r>
            <w:r>
              <w:rPr>
                <w:rFonts w:hint="eastAsia" w:ascii="楷体" w:hAnsi="楷体" w:eastAsia="楷体" w:cs="楷体"/>
                <w:b w:val="0"/>
                <w:bCs w:val="0"/>
                <w:color w:val="000000" w:themeColor="text1"/>
                <w:sz w:val="24"/>
                <w:szCs w:val="24"/>
                <w:lang w:val="en-US" w:eastAsia="zh-CN"/>
                <w14:textFill>
                  <w14:solidFill>
                    <w14:schemeClr w14:val="tx1"/>
                  </w14:solidFill>
                </w14:textFill>
              </w:rPr>
              <w:fldChar w:fldCharType="end"/>
            </w:r>
          </w:p>
        </w:tc>
        <w:tc>
          <w:tcPr>
            <w:tcW w:w="2625"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213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11</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安全工作大检查专项行动</w:t>
            </w: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在学院开展一次地毯式的安全大检查专项行动，确保新学期各项工作安全运行。检查结束后填写</w:t>
            </w: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“综治安全自查自评表”，并按要求报送。</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9月4日至11日各部门自排自查，9月15日汇总后报送综治办</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部门使用的办公室、库房、档案室、实验实训室、教室等场所要全面检查消防设施、应急照明、指示标志、疏散通道、安全出口、用电、防盗等情况，对设施不齐全或出现损坏缺失的能自行整改及时整改，不能整改的按</w:t>
            </w: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“综治安全自查自评表”，得要求分类报送。</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9月4日至11日各部门自排自查</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对全院电线、电缆、锅炉、燃气等设施进行一次全面排查，预防安全隐患发生。</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9月4日至11日自排自查</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后勤服务中心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对学生公寓的用电进行一次全面排查，预防学生因私拉乱接电源、使用大功率电器等发生用电安全隐患。</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9月4日至11日自排自查</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二级学院、各校区管委会、坞城校区学工部负责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全面排查是否存在租用拼装车、报废车和个人机动车接送师生，用于接送师生的机动车辆是否经检验合格并定期维护和检测，接送师生的机动车驾驶员资质是否符合有关规定。</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9月4日至11日自排自查</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对各项教学设施设备的使用维护情况进行全面检查，预防教学安全事故。</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9月4日至11日自排自查</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对楼道设施情况进行全面检查，损坏的照明设备要及时更换；同时要加强学生上下课高峰时段的管理，预防楼梯拥挤踩踏事故的发生。</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9月4日至11日自排自查</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后勤服务中心、各系部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对体育场地、器材等体育设施进行一次全面检查，预防体育设施伤人事故。</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9月4日至11日自排自查</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社体部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对校舍进行一次逐栋建筑的拉网式排查鉴定，做到不留死角，对存有安全隐患的校舍，要及时进行应急维修加固。</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9月4日至11日自排自查</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校产处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对饮用水源、自备井和厨房设备、食品是否符合卫生标准进行全面检查。同时要提高防范意识，采取相应的措施，严防不法分子投毒破坏。</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9月4日至11日自排自查</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后勤服务中心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对全院师生开展卫生防疫、疾病防控、学生医疗保险、以及协调医院做好处置工作。</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全学期</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后勤处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组织人员对全院再次进行集中</w:t>
            </w:r>
            <w:r>
              <w:rPr>
                <w:rFonts w:hint="eastAsia" w:ascii="楷体" w:hAnsi="楷体" w:eastAsia="楷体" w:cs="楷体"/>
                <w:b w:val="0"/>
                <w:bCs w:val="0"/>
                <w:color w:val="000000" w:themeColor="text1"/>
                <w:sz w:val="24"/>
                <w:szCs w:val="24"/>
                <w:lang w:val="en-US" w:eastAsia="zh-CN"/>
                <w14:textFill>
                  <w14:solidFill>
                    <w14:schemeClr w14:val="tx1"/>
                  </w14:solidFill>
                </w14:textFill>
              </w:rPr>
              <w:t>安全工作大检查专项行动，并督促落实各部门自排自查隐患整治情况。</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9月中旬</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综治办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迎接省教育厅安全工作大检查督查组检查。</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9月中下旬</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综治办、学院相关部门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12</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秋消防安全专项整治活动</w:t>
            </w: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下发秋消防安全专项整治活动方案</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9月底</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732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各部门动员部署、组织实施</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10月-12月底</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13</w:t>
            </w:r>
          </w:p>
        </w:tc>
        <w:tc>
          <w:tcPr>
            <w:tcW w:w="123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加强校园网络信息安全管理</w:t>
            </w:r>
          </w:p>
        </w:tc>
        <w:tc>
          <w:tcPr>
            <w:tcW w:w="730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kern w:val="2"/>
                <w:sz w:val="24"/>
                <w:szCs w:val="24"/>
                <w:lang w:val="en-US" w:eastAsia="zh-CN" w:bidi="ar-SA"/>
                <w14:textFill>
                  <w14:solidFill>
                    <w14:schemeClr w14:val="tx1"/>
                  </w14:solidFill>
                </w14:textFill>
              </w:rPr>
              <w:t>加强校园网管理工作，做到“校外用户只能浏览，不能贴文”和“用户实名注册”，要有专人负责管理和监控校园信息网，加强网上正面教育的力度，密切关注校园网上动态，摒除有害信息。教育师生在出现重大突发事件时，能自觉抵制和防范各种有害信息的传播，做到不访问、不下载、不传播有害信息，不轻信、不附和、不参与某些煽动性的过激言论，不断提高师生的思想政治觉悟。</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14</w:t>
            </w:r>
          </w:p>
        </w:tc>
        <w:tc>
          <w:tcPr>
            <w:tcW w:w="8535"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组织相关人员对各部门综合治理情况进行督导检查</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10月中旬</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综治办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15</w:t>
            </w:r>
          </w:p>
        </w:tc>
        <w:tc>
          <w:tcPr>
            <w:tcW w:w="8535"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完成年底的一会两册及总结表彰工作</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12月底</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综治办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16</w:t>
            </w:r>
          </w:p>
        </w:tc>
        <w:tc>
          <w:tcPr>
            <w:tcW w:w="8535"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迎接省平安校园、综治工作考核验收</w:t>
            </w:r>
          </w:p>
        </w:tc>
        <w:tc>
          <w:tcPr>
            <w:tcW w:w="262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12月底至2018年1月</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综治办</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000000" w:themeColor="text1"/>
          <w:sz w:val="32"/>
          <w:szCs w:val="32"/>
          <w:lang w:val="en-US" w:eastAsia="zh-CN"/>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方正大标宋简体">
    <w:altName w:val="宋体"/>
    <w:panose1 w:val="02010601030101010101"/>
    <w:charset w:val="86"/>
    <w:family w:val="auto"/>
    <w:pitch w:val="default"/>
    <w:sig w:usb0="00000000" w:usb1="00000000" w:usb2="0000001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9521C"/>
    <w:rsid w:val="060C73B4"/>
    <w:rsid w:val="0A1F0DAC"/>
    <w:rsid w:val="0AEE4C4B"/>
    <w:rsid w:val="0E675A8F"/>
    <w:rsid w:val="0FAC68B2"/>
    <w:rsid w:val="116F3052"/>
    <w:rsid w:val="147325DB"/>
    <w:rsid w:val="165D7D23"/>
    <w:rsid w:val="17444B66"/>
    <w:rsid w:val="17A335B2"/>
    <w:rsid w:val="183950C3"/>
    <w:rsid w:val="230814DF"/>
    <w:rsid w:val="246863B6"/>
    <w:rsid w:val="276D714F"/>
    <w:rsid w:val="29B37B4D"/>
    <w:rsid w:val="2AC714BB"/>
    <w:rsid w:val="2AD900ED"/>
    <w:rsid w:val="2C7146F5"/>
    <w:rsid w:val="2CB03467"/>
    <w:rsid w:val="2F9139E2"/>
    <w:rsid w:val="32800BED"/>
    <w:rsid w:val="32B52B9E"/>
    <w:rsid w:val="35FF2F6F"/>
    <w:rsid w:val="3761689C"/>
    <w:rsid w:val="387E1CE1"/>
    <w:rsid w:val="388C0A34"/>
    <w:rsid w:val="394F01AE"/>
    <w:rsid w:val="3B9E2103"/>
    <w:rsid w:val="3CC70DB0"/>
    <w:rsid w:val="3DB607AA"/>
    <w:rsid w:val="417070C5"/>
    <w:rsid w:val="44A20F9E"/>
    <w:rsid w:val="46A43607"/>
    <w:rsid w:val="47622379"/>
    <w:rsid w:val="490201A7"/>
    <w:rsid w:val="4C453269"/>
    <w:rsid w:val="4CDB674C"/>
    <w:rsid w:val="4D573C4B"/>
    <w:rsid w:val="4E604C26"/>
    <w:rsid w:val="4F6F375E"/>
    <w:rsid w:val="53432A1F"/>
    <w:rsid w:val="54D66DFB"/>
    <w:rsid w:val="56C438B6"/>
    <w:rsid w:val="596E3178"/>
    <w:rsid w:val="598B3962"/>
    <w:rsid w:val="59C349D3"/>
    <w:rsid w:val="5E3855D0"/>
    <w:rsid w:val="605E31A2"/>
    <w:rsid w:val="61E11FD5"/>
    <w:rsid w:val="656C3456"/>
    <w:rsid w:val="675919A8"/>
    <w:rsid w:val="69A86F4A"/>
    <w:rsid w:val="6BE52F67"/>
    <w:rsid w:val="6CD306D0"/>
    <w:rsid w:val="6EF51B4F"/>
    <w:rsid w:val="757F0BD8"/>
    <w:rsid w:val="75C753AB"/>
    <w:rsid w:val="77561E05"/>
    <w:rsid w:val="7791513F"/>
    <w:rsid w:val="789D6CB2"/>
    <w:rsid w:val="78A91564"/>
    <w:rsid w:val="7DCB3FE0"/>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FollowedHyperlink"/>
    <w:basedOn w:val="4"/>
    <w:qFormat/>
    <w:uiPriority w:val="0"/>
    <w:rPr>
      <w:color w:val="800080"/>
      <w:u w:val="single"/>
    </w:rPr>
  </w:style>
  <w:style w:type="character" w:styleId="6">
    <w:name w:val="Hyperlink"/>
    <w:basedOn w:val="4"/>
    <w:qFormat/>
    <w:uiPriority w:val="0"/>
    <w:rPr>
      <w:color w:val="0000FF"/>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List Paragraph"/>
    <w:basedOn w:val="1"/>
    <w:qFormat/>
    <w:uiPriority w:val="34"/>
    <w:pPr>
      <w:ind w:firstLine="420" w:firstLineChars="200"/>
    </w:pPr>
  </w:style>
  <w:style w:type="paragraph" w:customStyle="1" w:styleId="10">
    <w:name w:val="正文 New"/>
    <w:qFormat/>
    <w:uiPriority w:val="0"/>
    <w:pPr>
      <w:widowControl w:val="0"/>
      <w:jc w:val="both"/>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2017-02-27T02:46:00Z</cp:lastPrinted>
  <dcterms:modified xsi:type="dcterms:W3CDTF">2017-09-11T02:34:27Z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